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0.png" ContentType="image/png"/>
  <Override PartName="/word/media/rId57.png" ContentType="image/png"/>
  <Override PartName="/word/media/rId62.png" ContentType="image/png"/>
  <Override PartName="/word/media/rId67.png" ContentType="image/png"/>
  <Override PartName="/word/media/rId24.png" ContentType="image/png"/>
  <Override PartName="/word/media/rId34.png" ContentType="image/png"/>
  <Override PartName="/word/media/rId29.png" ContentType="image/png"/>
  <Override PartName="/word/media/rId107.pdf" ContentType="application/pdf"/>
  <Override PartName="/word/media/rId110.pdf" ContentType="application/pdf"/>
  <Override PartName="/word/media/rId113.pdf" ContentType="application/pdf"/>
  <Override PartName="/word/media/rId116.pdf" ContentType="application/pdf"/>
  <Override PartName="/word/media/rId88.pdf" ContentType="application/pdf"/>
  <Override PartName="/word/media/rId91.pdf" ContentType="application/pdf"/>
  <Override PartName="/word/media/rId94.pdf" ContentType="application/pdf"/>
  <Override PartName="/word/media/rId97.pdf" ContentType="application/pdf"/>
  <Override PartName="/word/media/rId100.pdf" ContentType="application/pdf"/>
  <Override PartName="/word/media/rId103.pdf" ContentType="application/pdf"/>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10</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(see</w:t>
      </w:r>
      <w:r>
        <w:t xml:space="preserve"> </w:t>
      </w:r>
      <w:hyperlink w:anchor="sec-apdx-tripgen">
        <w:r>
          <w:rPr>
            <w:rStyle w:val="Hyperlink"/>
          </w:rPr>
          <w:t xml:space="preserve">Appendix A</w:t>
        </w:r>
      </w:hyperlink>
      <w:r>
        <w:t xml:space="preserve">).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9"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33"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rPr>
          <w:bCs/>
          <w:b/>
        </w:rPr>
        <w:t xml:space="preserve">?@tbl-landuse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3877b78-d5b8-4f6a-9d46-86c68ef34c7e" w:name="tbl-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3877b78-d5b8-4f6a-9d46-86c68ef34c7e"/>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which is a Regional Shopping Center. The primary use of this land is for commercial and service uses to serve needs of people living in an entire region. It is located close to freeways &amp; major arterials for easy access</w:t>
      </w:r>
      <w:r>
        <w:t xml:space="preserve"> </w:t>
      </w:r>
      <w:r>
        <w:t xml:space="preserve">(Provo City Utah 2022a, chap. 14.20)</w:t>
      </w:r>
      <w:r>
        <w:t xml:space="preserve">.</w:t>
      </w:r>
      <w:r>
        <w:t xml:space="preserve"> </w:t>
      </w:r>
      <w:hyperlink w:anchor="fig-zoningmap">
        <w:r>
          <w:rPr>
            <w:rStyle w:val="Hyperlink"/>
          </w:rPr>
          <w:t xml:space="preserve">Figure 2.2</w:t>
        </w:r>
      </w:hyperlink>
      <w:r>
        <w:t xml:space="preserve"> </w:t>
      </w:r>
      <w:r>
        <w:t xml:space="preserve">provides a section of the Provo zoning map</w:t>
      </w:r>
      <w:r>
        <w:t xml:space="preserve"> </w:t>
      </w:r>
      <w:r>
        <w:t xml:space="preserve">(Provo City Utah 2022b)</w:t>
      </w:r>
      <w:r>
        <w:t xml:space="preserve"> </w:t>
      </w:r>
      <w:r>
        <w:t xml:space="preserve">with the site location marked.</w:t>
      </w:r>
    </w:p>
    <w:tbl>
      <w:tblPr>
        <w:tblStyle w:val="Table"/>
        <w:tblW w:type="pct" w:w="5000"/>
        <w:tblLook w:firstRow="0" w:lastRow="0" w:firstColumn="0" w:lastColumn="0" w:noHBand="0" w:noVBand="0" w:val="0000"/>
      </w:tblPr>
      <w:tblGrid>
        <w:gridCol w:w="7920"/>
      </w:tblGrid>
      <w:tr>
        <w:tc>
          <w:tcPr/>
          <w:bookmarkStart w:id="32" w:name="fig-zoningmap"/>
          <w:p>
            <w:pPr>
              <w:pStyle w:val="Figure"/>
              <w:jc w:val="center"/>
            </w:pPr>
            <w:r>
              <w:drawing>
                <wp:inline>
                  <wp:extent cx="4388508" cy="5018496"/>
                  <wp:effectExtent b="0" l="0" r="0" t="0"/>
                  <wp:docPr descr="" title="" id="30" name="Picture"/>
                  <a:graphic>
                    <a:graphicData uri="http://schemas.openxmlformats.org/drawingml/2006/picture">
                      <pic:pic>
                        <pic:nvPicPr>
                          <pic:cNvPr descr="qmd/../images/zoning_map.png" id="31" name="Picture"/>
                          <pic:cNvPicPr>
                            <a:picLocks noChangeArrowheads="1" noChangeAspect="1"/>
                          </pic:cNvPicPr>
                        </pic:nvPicPr>
                        <pic:blipFill>
                          <a:blip r:embed="rId29"/>
                          <a:stretch>
                            <a:fillRect/>
                          </a:stretch>
                        </pic:blipFill>
                        <pic:spPr bwMode="auto">
                          <a:xfrm>
                            <a:off x="0" y="0"/>
                            <a:ext cx="4388508" cy="5018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Provo zoning map, cropped to vicinity of the site.</w:t>
            </w:r>
          </w:p>
          <w:bookmarkEnd w:id="32"/>
        </w:tc>
      </w:tr>
    </w:tbl>
    <w:bookmarkEnd w:id="33"/>
    <w:bookmarkStart w:id="38" w:name="site-plan"/>
    <w:p>
      <w:pPr>
        <w:pStyle w:val="Heading2"/>
      </w:pPr>
      <w:r>
        <w:t xml:space="preserve">2.3 Site Plan</w:t>
      </w:r>
    </w:p>
    <w:p>
      <w:pPr>
        <w:pStyle w:val="FirstParagraph"/>
      </w:pPr>
      <w:hyperlink w:anchor="fig-siteplan">
        <w:r>
          <w:rPr>
            <w:rStyle w:val="Hyperlink"/>
          </w:rPr>
          <w:t xml:space="preserve">Figure 2.3</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7" w:name="fig-siteplan"/>
          <w:p>
            <w:pPr>
              <w:pStyle w:val="Figure"/>
              <w:jc w:val="center"/>
            </w:pPr>
            <w:r>
              <w:drawing>
                <wp:inline>
                  <wp:extent cx="5943600" cy="9185563"/>
                  <wp:effectExtent b="0" l="0" r="0" t="0"/>
                  <wp:docPr descr="" title="" id="35" name="Picture"/>
                  <a:graphic>
                    <a:graphicData uri="http://schemas.openxmlformats.org/drawingml/2006/picture">
                      <pic:pic>
                        <pic:nvPicPr>
                          <pic:cNvPr descr="qmd/../images/site_plan_prelim.png" id="36" name="Picture"/>
                          <pic:cNvPicPr>
                            <a:picLocks noChangeArrowheads="1" noChangeAspect="1"/>
                          </pic:cNvPicPr>
                        </pic:nvPicPr>
                        <pic:blipFill>
                          <a:blip r:embed="rId34"/>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Site plan for proposed Dream Town development.</w:t>
            </w:r>
          </w:p>
          <w:bookmarkEnd w:id="37"/>
        </w:tc>
      </w:tr>
    </w:tbl>
    <w:bookmarkEnd w:id="38"/>
    <w:bookmarkEnd w:id="39"/>
    <w:bookmarkStart w:id="56"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43" w:name="fig-intersections"/>
          <w:p>
            <w:pPr>
              <w:pStyle w:val="Figure"/>
              <w:jc w:val="center"/>
            </w:pPr>
            <w:r>
              <w:drawing>
                <wp:inline>
                  <wp:extent cx="5943600" cy="5943600"/>
                  <wp:effectExtent b="0" l="0" r="0" t="0"/>
                  <wp:docPr descr="" title="" id="41" name="Picture"/>
                  <a:graphic>
                    <a:graphicData uri="http://schemas.openxmlformats.org/drawingml/2006/picture">
                      <pic:pic>
                        <pic:nvPicPr>
                          <pic:cNvPr descr="qmd/../images/output/intersections.png" id="42"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43"/>
        </w:tc>
      </w:tr>
    </w:tbl>
    <w:bookmarkStart w:id="53" w:name="street-conditions"/>
    <w:p>
      <w:pPr>
        <w:pStyle w:val="Heading2"/>
      </w:pPr>
      <w:r>
        <w:t xml:space="preserve">3.1 Street Conditions</w:t>
      </w:r>
    </w:p>
    <w:p>
      <w:pPr>
        <w:pStyle w:val="FirstParagraph"/>
      </w:pPr>
      <w:r>
        <w:t xml:space="preserve">Detailed information on the streets in the study area is provided below. This information is summarized in</w:t>
      </w:r>
      <w:r>
        <w:t xml:space="preserve"> </w:t>
      </w:r>
      <w:r>
        <w:rPr>
          <w:bCs/>
          <w:b/>
        </w:rPr>
        <w:t xml:space="preserve">?@tbl-streetconfig</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1488e5c3-a5c6-4927-828a-fa18bc1db291" w:name="tbl-streetconfig"/>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488e5c3-a5c6-4927-828a-fa18bc1db291"/>
      <w:r>
        <w:rPr>
          <w:rFonts/>
          <w:b w:val="true"/>
        </w:rPr>
        <w:t xml:space="preserve">: </w:t>
      </w:r>
      <w:r>
        <w:t xml:space="preserve">Summary of Adjacent Street Configuration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Road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Direction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NB/EB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SB/WB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Speed Limit (mph)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Median/TWLTL</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1200 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University Ave / US-189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Blvd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Dr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bl>
    <w:bookmarkStart w:id="44" w:name="south"/>
    <w:p>
      <w:pPr>
        <w:pStyle w:val="Heading6"/>
      </w:pPr>
      <w:r>
        <w:t xml:space="preserve">1200 South</w:t>
      </w:r>
    </w:p>
    <w:p>
      <w:pPr>
        <w:pStyle w:val="FirstParagraph"/>
      </w:pPr>
      <w:r>
        <w:t xml:space="preserve">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bookmarkEnd w:id="44"/>
    <w:bookmarkStart w:id="45" w:name="university-avenue-us-189"/>
    <w:p>
      <w:pPr>
        <w:pStyle w:val="Heading6"/>
      </w:pPr>
      <w:r>
        <w:t xml:space="preserve">University Avenue / US-189</w:t>
      </w:r>
    </w:p>
    <w:p>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bookmarkEnd w:id="45"/>
    <w:bookmarkStart w:id="46" w:name="towne-centre-boulevard"/>
    <w:p>
      <w:pPr>
        <w:pStyle w:val="Heading6"/>
      </w:pPr>
      <w:r>
        <w:t xml:space="preserve">Towne Centre Boulevard</w:t>
      </w:r>
    </w:p>
    <w:p>
      <w:pPr>
        <w:pStyle w:val="FirstParagraph"/>
      </w:pPr>
      <w:r>
        <w:t xml:space="preserve">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bookmarkEnd w:id="46"/>
    <w:bookmarkStart w:id="47" w:name="towne-centre-drive"/>
    <w:p>
      <w:pPr>
        <w:pStyle w:val="Heading6"/>
      </w:pPr>
      <w:r>
        <w:t xml:space="preserve">Towne Centre Drive</w:t>
      </w:r>
    </w:p>
    <w:p>
      <w:pPr>
        <w:pStyle w:val="FirstParagraph"/>
      </w:pPr>
      <w:r>
        <w:t xml:space="preserve">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bookmarkEnd w:id="47"/>
    <w:bookmarkStart w:id="52" w:name="additional-information"/>
    <w:p>
      <w:pPr>
        <w:pStyle w:val="Heading3"/>
      </w:pPr>
      <w:r>
        <w:t xml:space="preserve">Additional Information</w:t>
      </w:r>
    </w:p>
    <w:p>
      <w:pPr>
        <w:pStyle w:val="FirstParagraph"/>
      </w:pPr>
      <w:r>
        <w:t xml:space="preserve">There are several bus stops in the study area, as shown in</w:t>
      </w:r>
      <w:r>
        <w:t xml:space="preserve"> </w:t>
      </w:r>
      <w:hyperlink w:anchor="fig-busmap">
        <w:r>
          <w:rPr>
            <w:rStyle w:val="Hyperlink"/>
          </w:rPr>
          <w:t xml:space="preserve">Figure 3.2</w:t>
        </w:r>
      </w:hyperlink>
      <w:r>
        <w:t xml:space="preserve">. Towne Centre Blvd is elevated relative to Dream Town, but there is a staircase next to the bus stop that allows for pedestrian access.</w:t>
      </w:r>
    </w:p>
    <w:tbl>
      <w:tblPr>
        <w:tblStyle w:val="Table"/>
        <w:tblW w:type="pct" w:w="5000"/>
        <w:tblLook w:firstRow="0" w:lastRow="0" w:firstColumn="0" w:lastColumn="0" w:noHBand="0" w:noVBand="0" w:val="0000"/>
      </w:tblPr>
      <w:tblGrid>
        <w:gridCol w:w="7920"/>
      </w:tblGrid>
      <w:tr>
        <w:tc>
          <w:tcPr/>
          <w:bookmarkStart w:id="51" w:name="fig-busmap"/>
          <w:p>
            <w:pPr>
              <w:pStyle w:val="Figure"/>
              <w:jc w:val="center"/>
            </w:pPr>
            <w:r>
              <w:drawing>
                <wp:inline>
                  <wp:extent cx="5943600" cy="5943600"/>
                  <wp:effectExtent b="0" l="0" r="0" t="0"/>
                  <wp:docPr descr="" title="" id="49" name="Picture"/>
                  <a:graphic>
                    <a:graphicData uri="http://schemas.openxmlformats.org/drawingml/2006/picture">
                      <pic:pic>
                        <pic:nvPicPr>
                          <pic:cNvPr descr="qmd/../images/output/bus.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Map of bus stops on the studied streets.</w:t>
            </w:r>
          </w:p>
          <w:bookmarkEnd w:id="51"/>
        </w:tc>
      </w:tr>
    </w:tbl>
    <w:bookmarkEnd w:id="52"/>
    <w:bookmarkEnd w:id="53"/>
    <w:bookmarkStart w:id="54" w:name="adjacent-land-uses"/>
    <w:p>
      <w:pPr>
        <w:pStyle w:val="Heading2"/>
      </w:pPr>
      <w:r>
        <w:t xml:space="preserve">3.2 Adjacent Land Uses</w:t>
      </w:r>
    </w:p>
    <w:p>
      <w:pPr>
        <w:pStyle w:val="FirstParagraph"/>
      </w:pPr>
      <w:r>
        <w:t xml:space="preserve">As can be seen in</w:t>
      </w:r>
      <w:r>
        <w:t xml:space="preserve"> </w:t>
      </w:r>
      <w:hyperlink w:anchor="fig-zoningmap">
        <w:r>
          <w:rPr>
            <w:rStyle w:val="Hyperlink"/>
          </w:rPr>
          <w:t xml:space="preserve">Figure 2.2</w:t>
        </w:r>
      </w:hyperlink>
      <w:r>
        <w:t xml:space="preserve">,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bookmarkEnd w:id="54"/>
    <w:bookmarkStart w:id="55" w:name="site-accessibility"/>
    <w:p>
      <w:pPr>
        <w:pStyle w:val="Heading2"/>
      </w:pPr>
      <w:r>
        <w:t xml:space="preserve">3.3 Site Accessibility</w:t>
      </w:r>
    </w:p>
    <w:p>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bookmarkEnd w:id="55"/>
    <w:bookmarkEnd w:id="56"/>
    <w:bookmarkStart w:id="73" w:name="analysis-of-existing-conditions"/>
    <w:p>
      <w:pPr>
        <w:pStyle w:val="Heading1"/>
      </w:pPr>
      <w:r>
        <w:t xml:space="preserve">4. Analysis of Existing Conditions</w:t>
      </w:r>
    </w:p>
    <w:bookmarkStart w:id="61" w:name="physical-characteristics"/>
    <w:p>
      <w:pPr>
        <w:pStyle w:val="Heading2"/>
      </w:pPr>
      <w:r>
        <w:t xml:space="preserve">4.1 Physical Characteristics</w:t>
      </w:r>
    </w:p>
    <w:p>
      <w:pPr>
        <w:pStyle w:val="FirstParagraph"/>
      </w:pPr>
      <w:r>
        <w:t xml:space="preserve">The study area contains four intersections: 1200 S / Towne Centre Blvd, a 3-way stop-controlled intersection; 1200 S / University Ave, a 4-way signalized intersection; Towne Centre Dr / Towne Centre Blvd, a 3-way signalized intersection; and Towne Centre Dr / University Ave, a 4-way signalized intersection (see</w:t>
      </w:r>
      <w:r>
        <w:t xml:space="preserve"> </w:t>
      </w:r>
      <w:hyperlink w:anchor="fig-intersections">
        <w:r>
          <w:rPr>
            <w:rStyle w:val="Hyperlink"/>
          </w:rPr>
          <w:t xml:space="preserve">Figure 3.1</w:t>
        </w:r>
      </w:hyperlink>
      <w:r>
        <w:t xml:space="preserve">).</w:t>
      </w:r>
    </w:p>
    <w:p>
      <w:pPr>
        <w:pStyle w:val="BodyText"/>
      </w:pPr>
      <w:r>
        <w:t xml:space="preserve">Much of the information regarding lane striping and turning movements for these intersections is given in</w:t>
      </w:r>
      <w:r>
        <w:t xml:space="preserve"> </w:t>
      </w:r>
      <w:r>
        <w:rPr>
          <w:bCs/>
          <w:b/>
        </w:rPr>
        <w:t xml:space="preserve">?@tbl-streetconfig</w:t>
      </w:r>
      <w:r>
        <w:t xml:space="preserve">. It is additionally worth noting that the east leg of the 1200 S / University Ave intersection is a parking lot access, and the WB lane has a designated left-turn lane and a shared right/through lane. For reference, a lane configuration diagram of these intersections is provided in</w:t>
      </w:r>
      <w:r>
        <w:t xml:space="preserve"> </w:t>
      </w:r>
      <w:hyperlink w:anchor="fig-lanediagram">
        <w:r>
          <w:rPr>
            <w:rStyle w:val="Hyperlink"/>
          </w:rPr>
          <w:t xml:space="preserve">Figure 4.1</w:t>
        </w:r>
      </w:hyperlink>
      <w:r>
        <w:t xml:space="preserve">.</w:t>
      </w:r>
    </w:p>
    <w:tbl>
      <w:tblPr>
        <w:tblStyle w:val="Table"/>
        <w:tblW w:type="pct" w:w="5000"/>
        <w:tblLook w:firstRow="0" w:lastRow="0" w:firstColumn="0" w:lastColumn="0" w:noHBand="0" w:noVBand="0" w:val="0000"/>
      </w:tblPr>
      <w:tblGrid>
        <w:gridCol w:w="7920"/>
      </w:tblGrid>
      <w:tr>
        <w:tc>
          <w:tcPr/>
          <w:bookmarkStart w:id="60" w:name="fig-lanediagram"/>
          <w:p>
            <w:pPr>
              <w:pStyle w:val="Figure"/>
              <w:jc w:val="center"/>
            </w:pPr>
            <w:r>
              <w:drawing>
                <wp:inline>
                  <wp:extent cx="5943600" cy="5943600"/>
                  <wp:effectExtent b="0" l="0" r="0" t="0"/>
                  <wp:docPr descr="" title="" id="58" name="Picture"/>
                  <a:graphic>
                    <a:graphicData uri="http://schemas.openxmlformats.org/drawingml/2006/picture">
                      <pic:pic>
                        <pic:nvPicPr>
                          <pic:cNvPr descr="qmd/../images/output/lane_diagr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Intersection lane diagram of the study area.</w:t>
            </w:r>
          </w:p>
          <w:bookmarkEnd w:id="60"/>
        </w:tc>
      </w:tr>
    </w:tbl>
    <w:bookmarkEnd w:id="61"/>
    <w:bookmarkStart w:id="66" w:name="sec-existingtrafficvols"/>
    <w:p>
      <w:pPr>
        <w:pStyle w:val="Heading2"/>
      </w:pPr>
      <w:r>
        <w:t xml:space="preserve">4.2 Traffic Volumes</w:t>
      </w:r>
    </w:p>
    <w:p>
      <w:pPr>
        <w:pStyle w:val="FirstParagraph"/>
      </w:pPr>
      <w:r>
        <w:t xml:space="preserve">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pPr>
        <w:pStyle w:val="BodyText"/>
      </w:pPr>
      <w:r>
        <w:t xml:space="preserve">From these counts and projections, 4:30–5:30 PM was determined to be the peak hour, with a peak hour factor (PHF) of 0.92. The volumes for this peak hour are presented in</w:t>
      </w:r>
      <w:r>
        <w:t xml:space="preserve"> </w:t>
      </w:r>
      <w:hyperlink w:anchor="fig-basevolumes">
        <w:r>
          <w:rPr>
            <w:rStyle w:val="Hyperlink"/>
          </w:rPr>
          <w:t xml:space="preserve">Figure 4.2</w:t>
        </w:r>
      </w:hyperlink>
      <w:r>
        <w:t xml:space="preserve">.</w:t>
      </w:r>
    </w:p>
    <w:tbl>
      <w:tblPr>
        <w:tblStyle w:val="Table"/>
        <w:tblW w:type="pct" w:w="5000"/>
        <w:tblLook w:firstRow="0" w:lastRow="0" w:firstColumn="0" w:lastColumn="0" w:noHBand="0" w:noVBand="0" w:val="0000"/>
      </w:tblPr>
      <w:tblGrid>
        <w:gridCol w:w="7920"/>
      </w:tblGrid>
      <w:tr>
        <w:tc>
          <w:tcPr/>
          <w:bookmarkStart w:id="65" w:name="fig-basevolumes"/>
          <w:p>
            <w:pPr>
              <w:pStyle w:val="Figure"/>
              <w:jc w:val="center"/>
            </w:pPr>
            <w:r>
              <w:drawing>
                <wp:inline>
                  <wp:extent cx="5943600" cy="5943600"/>
                  <wp:effectExtent b="0" l="0" r="0" t="0"/>
                  <wp:docPr descr="" title="" id="63" name="Picture"/>
                  <a:graphic>
                    <a:graphicData uri="http://schemas.openxmlformats.org/drawingml/2006/picture">
                      <pic:pic>
                        <pic:nvPicPr>
                          <pic:cNvPr descr="qmd/../images/output/traffic_counts_base.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Peak hour turning volumes on the studied intersections.</w:t>
            </w:r>
          </w:p>
          <w:bookmarkEnd w:id="65"/>
        </w:tc>
      </w:tr>
    </w:tbl>
    <w:bookmarkEnd w:id="66"/>
    <w:bookmarkStart w:id="71" w:name="level-of-service"/>
    <w:p>
      <w:pPr>
        <w:pStyle w:val="Heading2"/>
      </w:pPr>
      <w:r>
        <w:t xml:space="preserve">4.3 Level of Service</w:t>
      </w:r>
    </w:p>
    <w:p>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the letters A–F. These designations differ between signalized and unsignalized intersections, and are provided in the Highway Capacity Manual (HCM)</w:t>
      </w:r>
      <w:r>
        <w:t xml:space="preserve"> </w:t>
      </w:r>
      <w:r>
        <w:t xml:space="preserve">(National Academies of Sciences, Engineering, and Medicine 2022)</w:t>
      </w:r>
      <w:r>
        <w:t xml:space="preserve">.</w:t>
      </w:r>
      <w:r>
        <w:t xml:space="preserve"> </w:t>
      </w:r>
      <w:r>
        <w:rPr>
          <w:bCs/>
          <w:b/>
        </w:rPr>
        <w:t xml:space="preserve">?@tbl-los-signal</w:t>
      </w:r>
      <w:r>
        <w:t xml:space="preserve"> </w:t>
      </w:r>
      <w:r>
        <w:t xml:space="preserve">and</w:t>
      </w:r>
      <w:r>
        <w:t xml:space="preserve"> </w:t>
      </w:r>
      <w:r>
        <w:rPr>
          <w:bCs/>
          <w:b/>
        </w:rPr>
        <w:t xml:space="preserve">?@tbl-los-unsignal</w:t>
      </w:r>
      <w:r>
        <w:t xml:space="preserve"> </w:t>
      </w:r>
      <w:r>
        <w:t xml:space="preserve">summarize these criteria. This analysis assumes a LOS of</w:t>
      </w:r>
      <w:r>
        <w:t xml:space="preserve"> </w:t>
      </w:r>
      <w:r>
        <w:rPr>
          <w:rStyle w:val="VerbatimChar"/>
        </w:rPr>
        <w:t xml:space="preserve">D</w:t>
      </w:r>
      <w:r>
        <w:t xml:space="preserve"> </w:t>
      </w:r>
      <w:r>
        <w:t xml:space="preserve">or better represents acceptable conditions.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5fa3a0c-19a0-4dfb-b9ba-72aa365930d8" w:name="tbl-los-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5fa3a0c-19a0-4dfb-b9ba-72aa365930d8"/>
      <w:r>
        <w:rPr>
          <w:rFonts/>
          <w:b w:val="true"/>
        </w:rPr>
        <w:t xml:space="preserve">: </w:t>
      </w:r>
      <w:r>
        <w:t xml:space="preserve">LOS Criteria for 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55–80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&gt; 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90ac6b1-2026-4757-96c3-88c92f8cc875" w:name="tbl-los-un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90ac6b1-2026-4757-96c3-88c92f8cc875"/>
      <w:r>
        <w:rPr>
          <w:rFonts/>
          <w:b w:val="true"/>
        </w:rPr>
        <w:t xml:space="preserve">: </w:t>
      </w:r>
      <w:r>
        <w:t xml:space="preserve">LOS Criteria for Unsignalized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&lt; 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p>
      <w:pPr>
        <w:pStyle w:val="BodyText"/>
      </w:pPr>
      <w:r>
        <w:t xml:space="preserve">The existing level of service was determined based on current traffic volumes</w:t>
      </w:r>
      <w:r>
        <w:t xml:space="preserve"> </w:t>
      </w:r>
      <w:hyperlink w:anchor="sec-existingtrafficvols">
        <w:r>
          <w:rPr>
            <w:rStyle w:val="Hyperlink"/>
          </w:rPr>
          <w:t xml:space="preserve">Section 4.2</w:t>
        </w:r>
      </w:hyperlink>
      <w:r>
        <w:t xml:space="preserve"> </w:t>
      </w:r>
      <w:r>
        <w:t xml:space="preserve">and signal timings (obtained from UDOT), using the Synchro software package</w:t>
      </w:r>
      <w:r>
        <w:t xml:space="preserve"> </w:t>
      </w:r>
      <w:r>
        <w:t xml:space="preserve">(Trafficware 2019)</w:t>
      </w:r>
      <w:r>
        <w:t xml:space="preserve">. Synchro performs a LOS analysis using these and other inputs, including roadway and lane configuration.</w:t>
      </w:r>
      <w:r>
        <w:t xml:space="preserve"> </w:t>
      </w:r>
      <w:hyperlink w:anchor="fig-losbase">
        <w:r>
          <w:rPr>
            <w:rStyle w:val="Hyperlink"/>
          </w:rPr>
          <w:t xml:space="preserve">Figure 4.3</w:t>
        </w:r>
      </w:hyperlink>
      <w:r>
        <w:t xml:space="preserve"> </w:t>
      </w:r>
      <w:r>
        <w:t xml:space="preserve">shows the results of this analysis.</w:t>
      </w:r>
    </w:p>
    <w:tbl>
      <w:tblPr>
        <w:tblStyle w:val="Table"/>
        <w:tblW w:type="pct" w:w="5000"/>
        <w:tblLook w:firstRow="0" w:lastRow="0" w:firstColumn="0" w:lastColumn="0" w:noHBand="0" w:noVBand="0" w:val="0000"/>
      </w:tblPr>
      <w:tblGrid>
        <w:gridCol w:w="7920"/>
      </w:tblGrid>
      <w:tr>
        <w:tc>
          <w:tcPr/>
          <w:bookmarkStart w:id="70" w:name="fig-losbase"/>
          <w:p>
            <w:pPr>
              <w:pStyle w:val="Figure"/>
              <w:jc w:val="center"/>
            </w:pPr>
            <w:r>
              <w:drawing>
                <wp:inline>
                  <wp:extent cx="5943600" cy="5943600"/>
                  <wp:effectExtent b="0" l="0" r="0" t="0"/>
                  <wp:docPr descr="" title="" id="68" name="Picture"/>
                  <a:graphic>
                    <a:graphicData uri="http://schemas.openxmlformats.org/drawingml/2006/picture">
                      <pic:pic>
                        <pic:nvPicPr>
                          <pic:cNvPr descr="qmd/../images/output/traffic_los_base.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existing Synchro LOS analysis for each movement and intersection studied.</w:t>
            </w:r>
          </w:p>
          <w:bookmarkEnd w:id="70"/>
        </w:tc>
      </w:tr>
    </w:tbl>
    <w:bookmarkEnd w:id="71"/>
    <w:bookmarkStart w:id="72" w:name="transportation-safety"/>
    <w:p>
      <w:pPr>
        <w:pStyle w:val="Heading2"/>
      </w:pPr>
      <w:r>
        <w:t xml:space="preserve">4.4 Transportation Safety</w:t>
      </w:r>
    </w:p>
    <w:bookmarkEnd w:id="72"/>
    <w:bookmarkEnd w:id="73"/>
    <w:bookmarkStart w:id="87" w:name="references"/>
    <w:p>
      <w:pPr>
        <w:pStyle w:val="Heading1"/>
      </w:pPr>
      <w:r>
        <w:t xml:space="preserve">References</w:t>
      </w:r>
    </w:p>
    <w:bookmarkStart w:id="86" w:name="refs"/>
    <w:bookmarkStart w:id="75" w:name="X5668e9d6800f25ffd0464b286894c25f5345cf5"/>
    <w:p>
      <w:pPr>
        <w:pStyle w:val="Bibliography"/>
      </w:pPr>
      <w:r>
        <w:t xml:space="preserve">Institute of Transportation Engineers. 2021.</w:t>
      </w:r>
      <w:r>
        <w:t xml:space="preserve"> </w:t>
      </w:r>
      <w:r>
        <w:rPr>
          <w:iCs/>
          <w:i/>
        </w:rPr>
        <w:t xml:space="preserve">Trip Generation Manual</w:t>
      </w:r>
      <w:r>
        <w:t xml:space="preserve">. 11th ed.</w:t>
      </w:r>
      <w:r>
        <w:t xml:space="preserve"> </w:t>
      </w:r>
      <w:hyperlink r:id="rId74">
        <w:r>
          <w:rPr>
            <w:rStyle w:val="Hyperlink"/>
          </w:rPr>
          <w:t xml:space="preserve">https://itetripgen.org/</w:t>
        </w:r>
      </w:hyperlink>
      <w:r>
        <w:t xml:space="preserve">.</w:t>
      </w:r>
    </w:p>
    <w:bookmarkEnd w:id="75"/>
    <w:bookmarkStart w:id="77" w:name="ref-highway2022"/>
    <w:p>
      <w:pPr>
        <w:pStyle w:val="Bibliography"/>
      </w:pPr>
      <w:r>
        <w:t xml:space="preserve">National Academies of Sciences, Engineering, and Medicine. 2022.</w:t>
      </w:r>
      <w:r>
        <w:t xml:space="preserve"> </w:t>
      </w:r>
      <w:r>
        <w:rPr>
          <w:iCs/>
          <w:i/>
        </w:rPr>
        <w:t xml:space="preserve">Highway Capacity Manual 7th Edition: A Guide for Multimodal Mobility Analysis</w:t>
      </w:r>
      <w:r>
        <w:t xml:space="preserve">. Washington, D.C.: National Academies Press.</w:t>
      </w:r>
      <w:r>
        <w:t xml:space="preserve"> </w:t>
      </w:r>
      <w:hyperlink r:id="rId76">
        <w:r>
          <w:rPr>
            <w:rStyle w:val="Hyperlink"/>
          </w:rPr>
          <w:t xml:space="preserve">https://doi.org/10.17226/26432</w:t>
        </w:r>
      </w:hyperlink>
      <w:r>
        <w:t xml:space="preserve">.</w:t>
      </w:r>
    </w:p>
    <w:bookmarkEnd w:id="77"/>
    <w:bookmarkStart w:id="79" w:name="ref-provocitycode"/>
    <w:p>
      <w:pPr>
        <w:pStyle w:val="Bibliography"/>
      </w:pPr>
      <w:r>
        <w:t xml:space="preserve">Provo City Utah. 2022a.</w:t>
      </w:r>
      <w:r>
        <w:t xml:space="preserve"> </w:t>
      </w:r>
      <w:r>
        <w:t xml:space="preserve">“Provo City Code.”</w:t>
      </w:r>
      <w:r>
        <w:t xml:space="preserve"> </w:t>
      </w:r>
      <w:hyperlink r:id="rId78">
        <w:r>
          <w:rPr>
            <w:rStyle w:val="Hyperlink"/>
          </w:rPr>
          <w:t xml:space="preserve">https://provo.municipal.codes/Code</w:t>
        </w:r>
      </w:hyperlink>
      <w:r>
        <w:t xml:space="preserve">.</w:t>
      </w:r>
    </w:p>
    <w:bookmarkEnd w:id="79"/>
    <w:bookmarkStart w:id="81" w:name="ref-provocityutah2022"/>
    <w:p>
      <w:pPr>
        <w:pStyle w:val="Bibliography"/>
      </w:pPr>
      <w:r>
        <w:t xml:space="preserve">———. 2022b.</w:t>
      </w:r>
      <w:r>
        <w:t xml:space="preserve"> </w:t>
      </w:r>
      <w:r>
        <w:t xml:space="preserve">“Provo City Zoning Map,”</w:t>
      </w:r>
      <w:r>
        <w:t xml:space="preserve"> </w:t>
      </w:r>
      <w:r>
        <w:t xml:space="preserve">January.</w:t>
      </w:r>
      <w:r>
        <w:t xml:space="preserve"> </w:t>
      </w:r>
      <w:hyperlink r:id="rId80">
        <w:r>
          <w:rPr>
            <w:rStyle w:val="Hyperlink"/>
          </w:rPr>
          <w:t xml:space="preserve">https://www.provo.org/home/showpublisheddocument/8772/638095423470500000</w:t>
        </w:r>
      </w:hyperlink>
      <w:r>
        <w:t xml:space="preserve">.</w:t>
      </w:r>
    </w:p>
    <w:bookmarkEnd w:id="81"/>
    <w:bookmarkStart w:id="83" w:name="ref-trafficware2019"/>
    <w:p>
      <w:pPr>
        <w:pStyle w:val="Bibliography"/>
      </w:pPr>
      <w:r>
        <w:t xml:space="preserve">Trafficware. 2019.</w:t>
      </w:r>
      <w:r>
        <w:t xml:space="preserve"> </w:t>
      </w:r>
      <w:r>
        <w:rPr>
          <w:iCs/>
          <w:i/>
        </w:rPr>
        <w:t xml:space="preserve">Synchro</w:t>
      </w:r>
      <w:r>
        <w:t xml:space="preserve">. Cubic Transportation Systems.</w:t>
      </w:r>
      <w:r>
        <w:t xml:space="preserve"> </w:t>
      </w:r>
      <w:hyperlink r:id="rId82">
        <w:r>
          <w:rPr>
            <w:rStyle w:val="Hyperlink"/>
          </w:rPr>
          <w:t xml:space="preserve">https://support.gridsmart.com/support/solutions/articles/69000541835-synchro-studio-11-user-guide</w:t>
        </w:r>
      </w:hyperlink>
      <w:r>
        <w:t xml:space="preserve">.</w:t>
      </w:r>
    </w:p>
    <w:bookmarkEnd w:id="83"/>
    <w:bookmarkStart w:id="85"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84">
        <w:r>
          <w:rPr>
            <w:rStyle w:val="Hyperlink"/>
          </w:rPr>
          <w:t xml:space="preserve">https://drive.google.com/file/d/1a0YNDy9Z8bFxuE121lJP5XJNW0rw9Ft3/view?usp=embed_facebook</w:t>
        </w:r>
      </w:hyperlink>
      <w:r>
        <w:t xml:space="preserve">.</w:t>
      </w:r>
    </w:p>
    <w:bookmarkEnd w:id="85"/>
    <w:bookmarkEnd w:id="86"/>
    <w:bookmarkEnd w:id="87"/>
    <w:bookmarkStart w:id="106" w:name="sec-apdx-tripgen"/>
    <w:p>
      <w:pPr>
        <w:pStyle w:val="Heading1"/>
      </w:pPr>
      <w:r>
        <w:t xml:space="preserve">Appendix A — ITE Trip Generation Reference</w:t>
      </w:r>
    </w:p>
    <w:p>
      <w:pPr>
        <w:pStyle w:val="FirstParagraph"/>
      </w:pPr>
      <w:r>
        <w:t xml:space="preserve">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w:t>
      </w:r>
    </w:p>
    <w:p>
      <w:pPr>
        <w:pStyle w:val="BodyText"/>
      </w:pPr>
      <w:r>
        <w:drawing>
          <wp:inline>
            <wp:extent cx="5943600" cy="7691717"/>
            <wp:effectExtent b="0" l="0" r="0" t="0"/>
            <wp:docPr descr="" title="" id="89" name="Picture"/>
            <a:graphic>
              <a:graphicData uri="http://schemas.openxmlformats.org/drawingml/2006/picture">
                <pic:pic>
                  <pic:nvPicPr>
                    <pic:cNvPr descr="qmd/appendix/../../images/tripgen/710_pm.pdf" id="90" name="Picture"/>
                    <pic:cNvPicPr>
                      <a:picLocks noChangeArrowheads="1" noChangeAspect="1"/>
                    </pic:cNvPicPr>
                  </pic:nvPicPr>
                  <pic:blipFill>
                    <a:blip r:embed="rId8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92" name="Picture"/>
            <a:graphic>
              <a:graphicData uri="http://schemas.openxmlformats.org/drawingml/2006/picture">
                <pic:pic>
                  <pic:nvPicPr>
                    <pic:cNvPr descr="qmd/appendix/../../images/tripgen/710_wkday.pdf" id="93" name="Picture"/>
                    <pic:cNvPicPr>
                      <a:picLocks noChangeArrowheads="1" noChangeAspect="1"/>
                    </pic:cNvPicPr>
                  </pic:nvPicPr>
                  <pic:blipFill>
                    <a:blip r:embed="rId91"/>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95" name="Picture"/>
            <a:graphic>
              <a:graphicData uri="http://schemas.openxmlformats.org/drawingml/2006/picture">
                <pic:pic>
                  <pic:nvPicPr>
                    <pic:cNvPr descr="qmd/appendix/../../images/tripgen/816_pm.pdf" id="96" name="Picture"/>
                    <pic:cNvPicPr>
                      <a:picLocks noChangeArrowheads="1" noChangeAspect="1"/>
                    </pic:cNvPicPr>
                  </pic:nvPicPr>
                  <pic:blipFill>
                    <a:blip r:embed="rId9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98" name="Picture"/>
            <a:graphic>
              <a:graphicData uri="http://schemas.openxmlformats.org/drawingml/2006/picture">
                <pic:pic>
                  <pic:nvPicPr>
                    <pic:cNvPr descr="qmd/appendix/../../images/tripgen/816_wkday.pdf" id="99" name="Picture"/>
                    <pic:cNvPicPr>
                      <a:picLocks noChangeArrowheads="1" noChangeAspect="1"/>
                    </pic:cNvPicPr>
                  </pic:nvPicPr>
                  <pic:blipFill>
                    <a:blip r:embed="rId97"/>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01" name="Picture"/>
            <a:graphic>
              <a:graphicData uri="http://schemas.openxmlformats.org/drawingml/2006/picture">
                <pic:pic>
                  <pic:nvPicPr>
                    <pic:cNvPr descr="qmd/appendix/../../images/tripgen/932_pm.pdf" id="102" name="Picture"/>
                    <pic:cNvPicPr>
                      <a:picLocks noChangeArrowheads="1" noChangeAspect="1"/>
                    </pic:cNvPicPr>
                  </pic:nvPicPr>
                  <pic:blipFill>
                    <a:blip r:embed="rId10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04" name="Picture"/>
            <a:graphic>
              <a:graphicData uri="http://schemas.openxmlformats.org/drawingml/2006/picture">
                <pic:pic>
                  <pic:nvPicPr>
                    <pic:cNvPr descr="qmd/appendix/../../images/tripgen/932_wkday.pdf" id="105"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bookmarkEnd w:id="106"/>
    <w:bookmarkStart w:id="119" w:name="sec-synchro-ex"/>
    <w:p>
      <w:pPr>
        <w:pStyle w:val="Heading1"/>
      </w:pPr>
      <w:r>
        <w:t xml:space="preserve">Appendix B — Synchro LOS Analysis (Existing)</w:t>
      </w:r>
    </w:p>
    <w:p>
      <w:pPr>
        <w:pStyle w:val="FirstParagraph"/>
      </w:pPr>
      <w:r>
        <w:t xml:space="preserve">This appendix contains the results of the Synchro LOS analysis for the existing road volumes, signal timings, and lane configurations. The analysis of the all-way-stop-controlled (AWSC) 1200 S / Towne Centre Blvd intersection is given first, followed by the analysis for the remaining (signalized) intersections.</w:t>
      </w:r>
    </w:p>
    <w:p>
      <w:pPr>
        <w:pStyle w:val="BodyText"/>
      </w:pPr>
      <w:r>
        <w:drawing>
          <wp:inline>
            <wp:extent cx="5943600" cy="7691717"/>
            <wp:effectExtent b="0" l="0" r="0" t="0"/>
            <wp:docPr descr="" title="" id="108" name="Picture"/>
            <a:graphic>
              <a:graphicData uri="http://schemas.openxmlformats.org/drawingml/2006/picture">
                <pic:pic>
                  <pic:nvPicPr>
                    <pic:cNvPr descr="qmd/appendix/../../data/reference/Synchro%20Analysis%201200TCB.pdf" id="109" name="Picture"/>
                    <pic:cNvPicPr>
                      <a:picLocks noChangeArrowheads="1" noChangeAspect="1"/>
                    </pic:cNvPicPr>
                  </pic:nvPicPr>
                  <pic:blipFill>
                    <a:blip r:embed="rId10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1" name="Picture"/>
            <a:graphic>
              <a:graphicData uri="http://schemas.openxmlformats.org/drawingml/2006/picture">
                <pic:pic>
                  <pic:nvPicPr>
                    <pic:cNvPr descr="qmd/appendix/../../data/reference/Synchro%20Analysis%201200UA.pdf" id="112" name="Picture"/>
                    <pic:cNvPicPr>
                      <a:picLocks noChangeArrowheads="1" noChangeAspect="1"/>
                    </pic:cNvPicPr>
                  </pic:nvPicPr>
                  <pic:blipFill>
                    <a:blip r:embed="rId11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4" name="Picture"/>
            <a:graphic>
              <a:graphicData uri="http://schemas.openxmlformats.org/drawingml/2006/picture">
                <pic:pic>
                  <pic:nvPicPr>
                    <pic:cNvPr descr="qmd/appendix/../../data/reference/Synchro%20Analysis%20TCDTCB.pdf" id="115"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7" name="Picture"/>
            <a:graphic>
              <a:graphicData uri="http://schemas.openxmlformats.org/drawingml/2006/picture">
                <pic:pic>
                  <pic:nvPicPr>
                    <pic:cNvPr descr="qmd/appendix/../../data/reference/Synchro%20Analysis%20TCDUA.pdf" id="118" name="Picture"/>
                    <pic:cNvPicPr>
                      <a:picLocks noChangeArrowheads="1" noChangeAspect="1"/>
                    </pic:cNvPicPr>
                  </pic:nvPicPr>
                  <pic:blipFill>
                    <a:blip r:embed="rId116"/>
                    <a:stretch>
                      <a:fillRect/>
                    </a:stretch>
                  </pic:blipFill>
                  <pic:spPr bwMode="auto">
                    <a:xfrm>
                      <a:off x="0" y="0"/>
                      <a:ext cx="5943600" cy="7691717"/>
                    </a:xfrm>
                    <a:prstGeom prst="rect">
                      <a:avLst/>
                    </a:prstGeom>
                    <a:noFill/>
                    <a:ln w="9525">
                      <a:noFill/>
                      <a:headEnd/>
                      <a:tailEnd/>
                    </a:ln>
                  </pic:spPr>
                </pic:pic>
              </a:graphicData>
            </a:graphic>
          </wp:inline>
        </w:drawing>
      </w:r>
    </w:p>
    <w:bookmarkEnd w:id="119"/>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Nunito ExtraBold">
    <w:panose1 w:val="00000000000000000000"/>
    <w:charset w:val="4D"/>
    <w:family w:val="auto"/>
    <w:pitch w:val="variable"/>
    <w:sig w:usb0="A00002FF" w:usb1="5000204B" w:usb2="00000000" w:usb3="00000000" w:csb0="00000197"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Gentium Book Basic">
    <w:panose1 w:val="02000503060000020004"/>
    <w:charset w:val="4D"/>
    <w:family w:val="auto"/>
    <w:pitch w:val="variable"/>
    <w:sig w:usb0="A000007F" w:usb1="5000204A" w:usb2="00000000" w:usb3="00000000" w:csb0="00000013"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74040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F6606A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C9849C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FBD25BB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CCE3B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F08EA3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BEC51C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4A65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A06BB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EDCF32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378FB"/>
    <w:pPr>
      <w:keepNext/>
      <w:keepLines/>
      <w:pBdr>
        <w:bottom w:color="auto" w:space="1" w:sz="4" w:val="single"/>
      </w:pBdr>
      <w:spacing w:after="480" w:before="480"/>
      <w:outlineLvl w:val="0"/>
    </w:pPr>
    <w:rPr>
      <w:rFonts w:ascii="Nunito ExtraBold" w:cs="Times New Roman (Headings CS)" w:eastAsiaTheme="majorEastAsia" w:hAnsi="Nunito ExtraBold"/>
      <w:smallCaps/>
      <w:color w:themeColor="text1" w:val="000000"/>
      <w:sz w:val="40"/>
      <w:szCs w:val="32"/>
    </w:rPr>
  </w:style>
  <w:style w:styleId="Heading2" w:type="paragraph">
    <w:name w:val="heading 2"/>
    <w:basedOn w:val="Normal"/>
    <w:next w:val="BodyText"/>
    <w:uiPriority w:val="9"/>
    <w:unhideWhenUsed/>
    <w:qFormat/>
    <w:rsid w:val="009378FB"/>
    <w:pPr>
      <w:keepNext/>
      <w:keepLines/>
      <w:spacing w:after="160" w:before="240"/>
      <w:outlineLvl w:val="1"/>
    </w:pPr>
    <w:rPr>
      <w:rFonts w:ascii="Nunito ExtraBold" w:cs="Times New Roman (Headings CS)" w:eastAsiaTheme="majorEastAsia" w:hAnsi="Nunito ExtraBold"/>
      <w:bCs/>
      <w:smallCaps/>
      <w:color w:themeColor="text1" w:val="000000"/>
      <w:sz w:val="32"/>
      <w:szCs w:val="28"/>
    </w:rPr>
  </w:style>
  <w:style w:styleId="Heading3" w:type="paragraph">
    <w:name w:val="heading 3"/>
    <w:basedOn w:val="Normal"/>
    <w:next w:val="BodyText"/>
    <w:uiPriority w:val="9"/>
    <w:unhideWhenUsed/>
    <w:qFormat/>
    <w:rsid w:val="009378FB"/>
    <w:pPr>
      <w:keepNext/>
      <w:keepLines/>
      <w:spacing w:after="0" w:before="240"/>
      <w:outlineLvl w:val="2"/>
    </w:pPr>
    <w:rPr>
      <w:rFonts w:ascii="Nunito ExtraBold" w:cstheme="majorBidi" w:eastAsiaTheme="majorEastAsia" w:hAnsi="Nunito ExtraBold"/>
      <w:b/>
      <w:bCs/>
      <w:color w:themeColor="text1" w:val="000000"/>
    </w:rPr>
  </w:style>
  <w:style w:styleId="Heading4" w:type="paragraph">
    <w:name w:val="heading 4"/>
    <w:basedOn w:val="Normal"/>
    <w:next w:val="BodyText"/>
    <w:uiPriority w:val="9"/>
    <w:unhideWhenUsed/>
    <w:qFormat/>
    <w:rsid w:val="00CC55F1"/>
    <w:pPr>
      <w:keepNext/>
      <w:keepLines/>
      <w:spacing w:after="0" w:before="120"/>
      <w:outlineLvl w:val="3"/>
    </w:pPr>
    <w:rPr>
      <w:rFonts w:ascii="Nunito ExtraBold" w:cs="Times New Roman (Headings CS)" w:eastAsiaTheme="majorEastAsia" w:hAnsi="Nunito ExtraBold"/>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CC55F1"/>
    <w:pPr>
      <w:keepNext/>
      <w:keepLines/>
      <w:spacing w:after="0" w:before="120"/>
      <w:outlineLvl w:val="5"/>
    </w:pPr>
    <w:rPr>
      <w:rFonts w:ascii="Gentium Book Basic" w:cstheme="majorBidi" w:eastAsiaTheme="majorEastAsia" w:hAnsi="Gentium Book Basic"/>
      <w:b/>
      <w:color w:themeColor="text1" w:themeTint="BF" w:val="40404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2B2122"/>
    <w:pPr>
      <w:keepNext/>
      <w:keepLines/>
      <w:spacing w:after="240" w:before="480"/>
      <w:jc w:val="center"/>
    </w:pPr>
    <w:rPr>
      <w:rFonts w:ascii="Nunito ExtraBold" w:cstheme="majorBidi" w:eastAsiaTheme="majorEastAsia" w:hAnsi="Nunito ExtraBold"/>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2122"/>
    <w:pPr>
      <w:spacing w:after="120"/>
    </w:pPr>
    <w:rPr>
      <w:rFonts w:ascii="Nunito Light" w:hAnsi="Nunito Light"/>
      <w:i/>
    </w:rPr>
  </w:style>
  <w:style w:customStyle="1" w:styleId="TableCaption" w:type="paragraph">
    <w:name w:val="Table Caption"/>
    <w:basedOn w:val="Caption"/>
    <w:rsid w:val="002B2122"/>
    <w:pPr>
      <w:keepNext/>
      <w:spacing w:before="360"/>
      <w:jc w:val="center"/>
    </w:pPr>
    <w:rPr>
      <w:color w:themeColor="text1" w:themeTint="A6" w:val="595959"/>
      <w:sz w:val="20"/>
    </w:rPr>
  </w:style>
  <w:style w:customStyle="1" w:styleId="ImageCaption" w:type="paragraph">
    <w:name w:val="Image Caption"/>
    <w:basedOn w:val="Caption"/>
    <w:rsid w:val="006A29BF"/>
    <w:pPr>
      <w:keepLines/>
      <w:spacing w:after="360"/>
      <w:jc w:val="center"/>
    </w:pPr>
    <w:rPr>
      <w:color w:themeColor="text1" w:themeTint="A6" w:val="595959"/>
      <w:sz w:val="20"/>
    </w:rPr>
  </w:style>
  <w:style w:customStyle="1" w:styleId="Figure" w:type="paragraph">
    <w:name w:val="Figure"/>
    <w:basedOn w:val="Normal"/>
    <w:rsid w:val="006A29BF"/>
    <w:pPr>
      <w:keepNext/>
      <w:jc w:val="center"/>
    </w:pPr>
  </w:style>
  <w:style w:customStyle="1" w:styleId="CaptionedFigure" w:type="paragraph">
    <w:name w:val="Captioned Figure"/>
    <w:basedOn w:val="Figure"/>
  </w:style>
  <w:style w:customStyle="1" w:styleId="CaptionChar" w:type="character">
    <w:name w:val="Caption Char"/>
    <w:basedOn w:val="DefaultParagraphFont"/>
    <w:link w:val="Caption"/>
    <w:rsid w:val="002B2122"/>
    <w:rPr>
      <w:rFonts w:ascii="Nunito Light" w:hAnsi="Nunito Light"/>
      <w:i/>
    </w:rPr>
  </w:style>
  <w:style w:customStyle="1" w:styleId="VerbatimChar" w:type="character">
    <w:name w:val="Verbatim Char"/>
    <w:basedOn w:val="CaptionChar"/>
    <w:rsid w:val="002B2122"/>
    <w:rPr>
      <w:rFonts w:ascii="SauceCodePro NF" w:hAnsi="SauceCodePro NF"/>
      <w:b w:val="0"/>
      <w:i w:val="0"/>
      <w:sz w:val="22"/>
    </w:rPr>
  </w:style>
  <w:style w:customStyle="1" w:styleId="SectionNumber" w:type="character">
    <w:name w:val="Section Number"/>
    <w:basedOn w:val="CaptionChar"/>
    <w:rPr>
      <w:rFonts w:ascii="Nunito Light" w:hAnsi="Nunito Light"/>
      <w:i/>
    </w:rPr>
  </w:style>
  <w:style w:styleId="FootnoteReference" w:type="character">
    <w:name w:val="footnote reference"/>
    <w:basedOn w:val="CaptionChar"/>
    <w:rPr>
      <w:rFonts w:ascii="Nunito Light" w:hAnsi="Nunito Light"/>
      <w:i/>
      <w:vertAlign w:val="superscript"/>
    </w:rPr>
  </w:style>
  <w:style w:styleId="Hyperlink" w:type="character">
    <w:name w:val="Hyperlink"/>
    <w:basedOn w:val="BodyTextChar"/>
    <w:uiPriority w:val="99"/>
    <w:rsid w:val="008F6155"/>
    <w:rPr>
      <w:rFonts w:ascii="Gentium Book Basic" w:cs="Times New Roman (Body CS)" w:hAnsi="Gentium Book Basic"/>
      <w:i w:val="0"/>
      <w:color w:themeColor="text1" w:val="000000"/>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107" Target="media/rId107.pdf" /><Relationship Type="http://schemas.openxmlformats.org/officeDocument/2006/relationships/image" Id="rId110" Target="media/rId110.pdf" /><Relationship Type="http://schemas.openxmlformats.org/officeDocument/2006/relationships/image" Id="rId113" Target="media/rId113.pdf" /><Relationship Type="http://schemas.openxmlformats.org/officeDocument/2006/relationships/image" Id="rId116" Target="media/rId116.pdf" /><Relationship Type="http://schemas.openxmlformats.org/officeDocument/2006/relationships/image" Id="rId88" Target="media/rId88.pdf" /><Relationship Type="http://schemas.openxmlformats.org/officeDocument/2006/relationships/image" Id="rId91" Target="media/rId91.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100" Target="media/rId100.pdf" /><Relationship Type="http://schemas.openxmlformats.org/officeDocument/2006/relationships/image" Id="rId103" Target="media/rId103.pdf" /><Relationship Type="http://schemas.openxmlformats.org/officeDocument/2006/relationships/hyperlink" Id="rId76" Target="https://doi.org/10.17226/26432" TargetMode="External" /><Relationship Type="http://schemas.openxmlformats.org/officeDocument/2006/relationships/hyperlink" Id="rId84" Target="https://drive.google.com/file/d/1a0YNDy9Z8bFxuE121lJP5XJNW0rw9Ft3/view?usp=embed_facebook" TargetMode="External" /><Relationship Type="http://schemas.openxmlformats.org/officeDocument/2006/relationships/hyperlink" Id="rId74" Target="https://itetripgen.org/" TargetMode="External" /><Relationship Type="http://schemas.openxmlformats.org/officeDocument/2006/relationships/hyperlink" Id="rId78" Target="https://provo.municipal.codes/Code" TargetMode="External" /><Relationship Type="http://schemas.openxmlformats.org/officeDocument/2006/relationships/hyperlink" Id="rId82" Target="https://support.gridsmart.com/support/solutions/articles/69000541835-synchro-studio-11-user-guide" TargetMode="External" /><Relationship Type="http://schemas.openxmlformats.org/officeDocument/2006/relationships/hyperlink" Id="rId80" Target="https://www.provo.org/home/showpublisheddocument/8772/638095423470500000"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7226/26432" TargetMode="External" /><Relationship Type="http://schemas.openxmlformats.org/officeDocument/2006/relationships/hyperlink" Id="rId84" Target="https://drive.google.com/file/d/1a0YNDy9Z8bFxuE121lJP5XJNW0rw9Ft3/view?usp=embed_facebook" TargetMode="External" /><Relationship Type="http://schemas.openxmlformats.org/officeDocument/2006/relationships/hyperlink" Id="rId74" Target="https://itetripgen.org/" TargetMode="External" /><Relationship Type="http://schemas.openxmlformats.org/officeDocument/2006/relationships/hyperlink" Id="rId78" Target="https://provo.municipal.codes/Code" TargetMode="External" /><Relationship Type="http://schemas.openxmlformats.org/officeDocument/2006/relationships/hyperlink" Id="rId82" Target="https://support.gridsmart.com/support/solutions/articles/69000541835-synchro-studio-11-user-guide" TargetMode="External" /><Relationship Type="http://schemas.openxmlformats.org/officeDocument/2006/relationships/hyperlink" Id="rId80" Target="https://www.provo.org/home/showpublisheddocument/8772/6380954234705000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92</Words>
  <Characters>529</Characters>
  <Application>Microsoft Office Word</Application>
  <DocSecurity>0</DocSecurity>
  <Lines>4</Lines>
  <Paragraphs>1</Paragraphs>
  <ScaleCrop>false</ScaleCrop>
  <Company/>
  <LinksUpToDate>false</LinksUpToDate>
  <CharactersWithSpaces>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2023-02-10T17:46:22Z</dcterms:created>
  <dcterms:modified xsi:type="dcterms:W3CDTF">2023-02-10T17:46:22Z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10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